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F8BF9" w14:textId="3F57323D" w:rsidR="00E67174" w:rsidRPr="00E67174" w:rsidRDefault="00E67174" w:rsidP="00E67174">
      <w:pPr>
        <w:jc w:val="center"/>
        <w:rPr>
          <w:rFonts w:asciiTheme="minorHAnsi" w:hAnsiTheme="minorHAnsi" w:cstheme="minorHAnsi"/>
          <w:b/>
          <w:bCs/>
        </w:rPr>
      </w:pPr>
      <w:r w:rsidRPr="00E67174">
        <w:rPr>
          <w:rFonts w:asciiTheme="minorHAnsi" w:hAnsiTheme="minorHAnsi" w:cstheme="minorHAnsi"/>
          <w:b/>
          <w:bCs/>
        </w:rPr>
        <w:t xml:space="preserve">Avviso pubblico per la costituzione di short list per prestazioni professionali e di servizio da utilizzare nell’ambito della collaborazione in corso con </w:t>
      </w:r>
      <w:proofErr w:type="spellStart"/>
      <w:r w:rsidRPr="00E67174">
        <w:rPr>
          <w:rFonts w:asciiTheme="minorHAnsi" w:hAnsiTheme="minorHAnsi" w:cstheme="minorHAnsi"/>
          <w:b/>
          <w:bCs/>
        </w:rPr>
        <w:t>Fo.Re.S.T.A.S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. – Agenzia Regionale per lo Sviluppo del Territorio e dell’Ambiente della Sardegna per fornire il Servizio di Supporto alle attività di realizzazione e conduzione dei Living </w:t>
      </w:r>
      <w:proofErr w:type="spellStart"/>
      <w:r w:rsidRPr="00E67174">
        <w:rPr>
          <w:rFonts w:asciiTheme="minorHAnsi" w:hAnsiTheme="minorHAnsi" w:cstheme="minorHAnsi"/>
          <w:b/>
          <w:bCs/>
        </w:rPr>
        <w:t>Laboratories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nel Progetto “RES ALLIANCE + – </w:t>
      </w:r>
      <w:proofErr w:type="spellStart"/>
      <w:r w:rsidRPr="00E67174">
        <w:rPr>
          <w:rFonts w:asciiTheme="minorHAnsi" w:hAnsiTheme="minorHAnsi" w:cstheme="minorHAnsi"/>
          <w:b/>
          <w:bCs/>
        </w:rPr>
        <w:t>Landscape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7174">
        <w:rPr>
          <w:rFonts w:asciiTheme="minorHAnsi" w:hAnsiTheme="minorHAnsi" w:cstheme="minorHAnsi"/>
          <w:b/>
          <w:bCs/>
        </w:rPr>
        <w:t>resilience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knowledge </w:t>
      </w:r>
      <w:proofErr w:type="spellStart"/>
      <w:r w:rsidRPr="00E67174">
        <w:rPr>
          <w:rFonts w:asciiTheme="minorHAnsi" w:hAnsiTheme="minorHAnsi" w:cstheme="minorHAnsi"/>
          <w:b/>
          <w:bCs/>
        </w:rPr>
        <w:t>alliance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for </w:t>
      </w:r>
      <w:proofErr w:type="spellStart"/>
      <w:r w:rsidRPr="00E67174">
        <w:rPr>
          <w:rFonts w:asciiTheme="minorHAnsi" w:hAnsiTheme="minorHAnsi" w:cstheme="minorHAnsi"/>
          <w:b/>
          <w:bCs/>
        </w:rPr>
        <w:t>agriculture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E67174">
        <w:rPr>
          <w:rFonts w:asciiTheme="minorHAnsi" w:hAnsiTheme="minorHAnsi" w:cstheme="minorHAnsi"/>
          <w:b/>
          <w:bCs/>
        </w:rPr>
        <w:t>forestry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in the </w:t>
      </w:r>
      <w:proofErr w:type="spellStart"/>
      <w:r w:rsidRPr="00E67174">
        <w:rPr>
          <w:rFonts w:asciiTheme="minorHAnsi" w:hAnsiTheme="minorHAnsi" w:cstheme="minorHAnsi"/>
          <w:b/>
          <w:bCs/>
        </w:rPr>
        <w:t>Mediterranean</w:t>
      </w:r>
      <w:proofErr w:type="spellEnd"/>
      <w:r w:rsidRPr="00E6717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7174">
        <w:rPr>
          <w:rFonts w:asciiTheme="minorHAnsi" w:hAnsiTheme="minorHAnsi" w:cstheme="minorHAnsi"/>
          <w:b/>
          <w:bCs/>
        </w:rPr>
        <w:t>basin</w:t>
      </w:r>
      <w:proofErr w:type="spellEnd"/>
      <w:r w:rsidRPr="00E67174">
        <w:rPr>
          <w:rFonts w:asciiTheme="minorHAnsi" w:hAnsiTheme="minorHAnsi" w:cstheme="minorHAnsi"/>
          <w:b/>
          <w:bCs/>
        </w:rPr>
        <w:t>”</w:t>
      </w:r>
    </w:p>
    <w:p w14:paraId="4F89A566" w14:textId="77777777" w:rsidR="00E67174" w:rsidRPr="00E67174" w:rsidRDefault="00E67174" w:rsidP="00E67174">
      <w:pPr>
        <w:jc w:val="center"/>
        <w:rPr>
          <w:rFonts w:asciiTheme="minorHAnsi" w:hAnsiTheme="minorHAnsi" w:cstheme="minorHAnsi"/>
          <w:b/>
          <w:bCs/>
        </w:rPr>
      </w:pPr>
      <w:r w:rsidRPr="00E67174">
        <w:rPr>
          <w:rFonts w:asciiTheme="minorHAnsi" w:hAnsiTheme="minorHAnsi" w:cstheme="minorHAnsi"/>
          <w:b/>
          <w:bCs/>
        </w:rPr>
        <w:t>Programma HORIZON Europe.</w:t>
      </w:r>
    </w:p>
    <w:p w14:paraId="6E9B2101" w14:textId="77777777" w:rsidR="00E67174" w:rsidRPr="00E67174" w:rsidRDefault="00E67174" w:rsidP="00E67174">
      <w:pPr>
        <w:jc w:val="center"/>
        <w:rPr>
          <w:rFonts w:asciiTheme="minorHAnsi" w:hAnsiTheme="minorHAnsi" w:cstheme="minorHAnsi"/>
          <w:b/>
          <w:bCs/>
        </w:rPr>
      </w:pPr>
      <w:r w:rsidRPr="00E67174">
        <w:rPr>
          <w:rFonts w:asciiTheme="minorHAnsi" w:hAnsiTheme="minorHAnsi" w:cstheme="minorHAnsi"/>
          <w:b/>
          <w:bCs/>
        </w:rPr>
        <w:t>(CUP: D73B22000020006)</w:t>
      </w:r>
    </w:p>
    <w:p w14:paraId="7DE14727" w14:textId="504E133B" w:rsidR="00E67174" w:rsidRDefault="00E67174" w:rsidP="00C476D5">
      <w:pPr>
        <w:rPr>
          <w:rFonts w:asciiTheme="minorHAnsi" w:hAnsiTheme="minorHAnsi" w:cstheme="minorHAnsi"/>
          <w:b/>
          <w:bCs/>
        </w:rPr>
      </w:pPr>
    </w:p>
    <w:p w14:paraId="5BFC1484" w14:textId="77777777" w:rsidR="00E67174" w:rsidRDefault="00E67174" w:rsidP="00C476D5">
      <w:pPr>
        <w:rPr>
          <w:rFonts w:asciiTheme="minorHAnsi" w:hAnsiTheme="minorHAnsi" w:cstheme="minorHAnsi"/>
          <w:b/>
          <w:bCs/>
        </w:rPr>
      </w:pPr>
    </w:p>
    <w:p w14:paraId="1278166C" w14:textId="77777777" w:rsidR="00E67174" w:rsidRDefault="00E67174" w:rsidP="00C476D5">
      <w:pPr>
        <w:rPr>
          <w:rFonts w:asciiTheme="minorHAnsi" w:hAnsiTheme="minorHAnsi" w:cstheme="minorHAnsi"/>
          <w:b/>
          <w:bCs/>
        </w:rPr>
      </w:pPr>
    </w:p>
    <w:p w14:paraId="5DAE647A" w14:textId="0F2F1379" w:rsidR="008E49EA" w:rsidRPr="00E67174" w:rsidRDefault="00E67174" w:rsidP="00E67174">
      <w:pPr>
        <w:jc w:val="center"/>
        <w:rPr>
          <w:rFonts w:asciiTheme="minorHAnsi" w:hAnsiTheme="minorHAnsi" w:cstheme="minorHAnsi"/>
          <w:b/>
          <w:bCs/>
        </w:rPr>
      </w:pPr>
      <w:r w:rsidRPr="00E67174">
        <w:rPr>
          <w:rFonts w:asciiTheme="minorHAnsi" w:hAnsiTheme="minorHAnsi" w:cstheme="minorHAnsi"/>
          <w:b/>
          <w:bCs/>
        </w:rPr>
        <w:t xml:space="preserve">ALLEGATO A </w:t>
      </w:r>
      <w:r>
        <w:rPr>
          <w:rFonts w:asciiTheme="minorHAnsi" w:hAnsiTheme="minorHAnsi" w:cstheme="minorHAnsi"/>
          <w:b/>
          <w:bCs/>
        </w:rPr>
        <w:t>–</w:t>
      </w:r>
      <w:r w:rsidRPr="00E6717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DESCRIZIONE DELLE ATTIVITÀ DEL RESILIENCE AMBASSADOR</w:t>
      </w:r>
    </w:p>
    <w:p w14:paraId="006111D9" w14:textId="77777777" w:rsidR="00E67174" w:rsidRDefault="00E67174" w:rsidP="00C476D5"/>
    <w:p w14:paraId="30BD35B1" w14:textId="77777777" w:rsidR="00E67174" w:rsidRDefault="00E67174" w:rsidP="00C476D5"/>
    <w:p w14:paraId="3C16D004" w14:textId="347E6F13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Il collaboratore avrà il ruolo di </w:t>
      </w:r>
      <w:proofErr w:type="spellStart"/>
      <w:r w:rsidR="00E804A6" w:rsidRPr="00E804A6">
        <w:rPr>
          <w:rFonts w:asciiTheme="minorHAnsi" w:hAnsiTheme="minorHAnsi" w:cstheme="minorHAnsi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Ambassador (RA) e dovrà occuparsi delle attività di facilitazione e di disseminazione delle buone pratiche di progetto sul tema della resilienza del paesaggio, con i due focus identificati per la Sardegna, gli incendi boschivi e i boschi di sughere, così come specificate nell’Allegato A al presente bando.</w:t>
      </w:r>
    </w:p>
    <w:p w14:paraId="52370CA8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>L’incarico avrà luogo per tutta la durata del progetto (novembre 2025), a partire da ottobre 2023.</w:t>
      </w:r>
    </w:p>
    <w:p w14:paraId="24ED75C1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B3618" w14:textId="2567115A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Il collaboratore dovrà svolgere le seguenti attività coordinandosi con </w:t>
      </w:r>
      <w:proofErr w:type="gramStart"/>
      <w:r w:rsidRPr="00E804A6">
        <w:rPr>
          <w:rFonts w:asciiTheme="minorHAnsi" w:hAnsiTheme="minorHAnsi" w:cstheme="minorHAnsi"/>
          <w:sz w:val="22"/>
          <w:szCs w:val="22"/>
        </w:rPr>
        <w:t>il team</w:t>
      </w:r>
      <w:proofErr w:type="gramEnd"/>
      <w:r w:rsidRPr="00E804A6">
        <w:rPr>
          <w:rFonts w:asciiTheme="minorHAnsi" w:hAnsiTheme="minorHAnsi" w:cstheme="minorHAnsi"/>
          <w:sz w:val="22"/>
          <w:szCs w:val="22"/>
        </w:rPr>
        <w:t xml:space="preserve"> MEDSEA incaricato delle attività del progetto H2020 Res Alliance (e in particolare con i tecnici, agronomi forestali), con il referente di FORESTAS, con il partner DREAM per le attività in qualità di </w:t>
      </w:r>
      <w:proofErr w:type="spellStart"/>
      <w:r w:rsidR="00E804A6" w:rsidRPr="00E804A6">
        <w:rPr>
          <w:rFonts w:asciiTheme="minorHAnsi" w:hAnsiTheme="minorHAnsi" w:cstheme="minorHAnsi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Ambassador, con i partner di progetto incaricati di coordinare le attività, in particolare quelle di comunicazione e disseminazione. </w:t>
      </w:r>
    </w:p>
    <w:p w14:paraId="42E70D69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A550E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>Nello specifico sarà incaricato delle seguenti task:</w:t>
      </w:r>
    </w:p>
    <w:p w14:paraId="029DC0BF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81DE0" w14:textId="2CF96506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Task 2.2 </w:t>
      </w:r>
      <w:r w:rsidR="00E804A6"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Development of 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LandLabs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| Lead partner: EFI; other involved: all [M1-M36].</w:t>
      </w:r>
    </w:p>
    <w:p w14:paraId="619F06F2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804A6">
        <w:rPr>
          <w:rFonts w:asciiTheme="minorHAnsi" w:hAnsiTheme="minorHAnsi" w:cstheme="minorHAnsi"/>
          <w:sz w:val="22"/>
          <w:szCs w:val="22"/>
          <w:u w:val="single"/>
        </w:rPr>
        <w:t xml:space="preserve">Sub-task 2.2.1. </w:t>
      </w:r>
    </w:p>
    <w:p w14:paraId="2CDA6A53" w14:textId="23812396" w:rsidR="00E67174" w:rsidRPr="00E804A6" w:rsidRDefault="00E67174" w:rsidP="00E67174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Contributo alla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redazione di documenti metodologici ed operativi per la definizione di manuali, metodologie e programmi del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per la Sardegna, con adattamento delle indica-zioni e linee guida del consorzio alle reali esigenze dei territori: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concorso per la Sardegna alla redazione del deliverable D2.2 (database degli stakeholders per la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804A6">
        <w:rPr>
          <w:rFonts w:asciiTheme="minorHAnsi" w:hAnsiTheme="minorHAnsi" w:cstheme="minorHAnsi"/>
          <w:sz w:val="22"/>
          <w:szCs w:val="22"/>
        </w:rPr>
        <w:t xml:space="preserve">e supporto per la predisposizione della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roadmap e per la mappatura degli stakeholder del proprio territorio. Tale attività è già in corso, ma andrà implementata durante tutta la durata del progetto.</w:t>
      </w:r>
    </w:p>
    <w:p w14:paraId="522DC805" w14:textId="77777777" w:rsidR="00E67174" w:rsidRPr="00E804A6" w:rsidRDefault="00E67174" w:rsidP="00E67174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Attività in qualità di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Ambassador (RA): l'attività presuppone la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frequenza al percorso di formazione e coordinamento </w:t>
      </w:r>
      <w:r w:rsidRPr="00E804A6">
        <w:rPr>
          <w:rFonts w:asciiTheme="minorHAnsi" w:hAnsiTheme="minorHAnsi" w:cstheme="minorHAnsi"/>
          <w:sz w:val="22"/>
          <w:szCs w:val="22"/>
        </w:rPr>
        <w:t xml:space="preserve">dei RA erogato dal partner incaricato ETIFOR (task 2.1) all'operatore economico e nello specifico: l’incontro di una giornata </w:t>
      </w:r>
      <w:r w:rsidRPr="00E804A6">
        <w:rPr>
          <w:rFonts w:asciiTheme="minorHAnsi" w:hAnsiTheme="minorHAnsi" w:cstheme="minorHAnsi"/>
          <w:sz w:val="22"/>
          <w:szCs w:val="22"/>
          <w:u w:val="single"/>
        </w:rPr>
        <w:t>previsto in Toscana nel mese di dicembre 2023</w:t>
      </w:r>
      <w:r w:rsidRPr="00E804A6">
        <w:rPr>
          <w:rFonts w:asciiTheme="minorHAnsi" w:hAnsiTheme="minorHAnsi" w:cstheme="minorHAnsi"/>
          <w:sz w:val="22"/>
          <w:szCs w:val="22"/>
        </w:rPr>
        <w:t xml:space="preserve"> e l’incontro previsto per gennaio 2025 in concomitanza con lo Steering Committee di progetto in uno dei paesi coinvolti nelle attività.</w:t>
      </w:r>
    </w:p>
    <w:p w14:paraId="415F47CD" w14:textId="77777777" w:rsidR="00E67174" w:rsidRPr="00E804A6" w:rsidRDefault="00E67174" w:rsidP="00E67174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creazione di una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rete tematica mediterranea per la Sardegna </w:t>
      </w:r>
      <w:r w:rsidRPr="00E804A6">
        <w:rPr>
          <w:rFonts w:asciiTheme="minorHAnsi" w:hAnsiTheme="minorHAnsi" w:cstheme="minorHAnsi"/>
          <w:sz w:val="22"/>
          <w:szCs w:val="22"/>
        </w:rPr>
        <w:t>(road-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map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, stakeholder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e database in linea con il GDPR, etc.)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sulla resilienza del paesaggio </w:t>
      </w:r>
      <w:r w:rsidRPr="00E804A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), anche a partire dalla valorizzazione di ulteriori reti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multiattoriali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già messe in piedi nell'ambito di altre progettualità europee (Life, Horizon, etc.). Le attività sulla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sono coordinate da DIMITRA ed EFI.</w:t>
      </w:r>
    </w:p>
    <w:p w14:paraId="7F525118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FE0CD1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  <w:u w:val="single"/>
        </w:rPr>
        <w:t>Sub-task 2.2.2</w:t>
      </w:r>
      <w:r w:rsidRPr="00E804A6">
        <w:rPr>
          <w:rFonts w:asciiTheme="minorHAnsi" w:hAnsiTheme="minorHAnsi" w:cstheme="minorHAnsi"/>
          <w:sz w:val="22"/>
          <w:szCs w:val="22"/>
        </w:rPr>
        <w:t xml:space="preserve"> (attività già in corso, coordinata da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con i tecnici di MEDSEA)</w:t>
      </w:r>
    </w:p>
    <w:p w14:paraId="143E7496" w14:textId="78570D46" w:rsidR="00E67174" w:rsidRPr="00E804A6" w:rsidRDefault="00E67174" w:rsidP="00E67174">
      <w:pPr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Proposizione, in supporto all'Agenzia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, delle aree pilota </w:t>
      </w:r>
      <w:r w:rsidRPr="00E804A6">
        <w:rPr>
          <w:rFonts w:asciiTheme="minorHAnsi" w:hAnsiTheme="minorHAnsi" w:cstheme="minorHAnsi"/>
          <w:sz w:val="22"/>
          <w:szCs w:val="22"/>
        </w:rPr>
        <w:t xml:space="preserve">e redazione della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mappatura degli stakeholder a livello dei laboratori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multiattoriali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locali (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C16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B5CFC" w14:textId="77777777" w:rsidR="00E67174" w:rsidRPr="00E804A6" w:rsidRDefault="00E67174" w:rsidP="00E67174">
      <w:pPr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Il sub contractor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collaborerà alla definizione del "Land Lab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standardised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manual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programme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E804A6">
        <w:rPr>
          <w:rFonts w:asciiTheme="minorHAnsi" w:hAnsiTheme="minorHAnsi" w:cstheme="minorHAnsi"/>
          <w:sz w:val="22"/>
          <w:szCs w:val="22"/>
        </w:rPr>
        <w:t xml:space="preserve"> (MS5) e </w:t>
      </w:r>
    </w:p>
    <w:p w14:paraId="5FB2CE85" w14:textId="47FECB5F" w:rsidR="00E67174" w:rsidRPr="00E804A6" w:rsidRDefault="00E67174" w:rsidP="00E804A6">
      <w:pPr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allo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sviluppo, realizzazione e predisposizione dei documenti del LL Sardegna e al coinvolgimento degli stakeholders</w:t>
      </w:r>
      <w:r w:rsidRPr="00E804A6">
        <w:rPr>
          <w:rFonts w:asciiTheme="minorHAnsi" w:hAnsiTheme="minorHAnsi" w:cstheme="minorHAnsi"/>
          <w:sz w:val="22"/>
          <w:szCs w:val="22"/>
        </w:rPr>
        <w:t xml:space="preserve">. Tale attività presuppone la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redazione di relazioni tecniche </w:t>
      </w:r>
      <w:r w:rsidRPr="00E804A6">
        <w:rPr>
          <w:rFonts w:asciiTheme="minorHAnsi" w:hAnsiTheme="minorHAnsi" w:cstheme="minorHAnsi"/>
          <w:sz w:val="22"/>
          <w:szCs w:val="22"/>
        </w:rPr>
        <w:t xml:space="preserve">in inglese comprensive di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elenchi delle categorie e degli stakeholder proposti per il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, delle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esigenze e proposte di best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pratice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, nonché la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redazione di documenti utili alla definizione degli eventi di progetto Land lab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launch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events,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workshops, field trips, </w:t>
      </w:r>
      <w:proofErr w:type="spellStart"/>
      <w:r w:rsidRPr="00E804A6">
        <w:rPr>
          <w:rFonts w:asciiTheme="minorHAnsi" w:hAnsiTheme="minorHAnsi" w:cstheme="minorHAnsi"/>
          <w:b/>
          <w:bCs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 showrooms</w:t>
      </w:r>
      <w:r w:rsidRPr="00E804A6">
        <w:rPr>
          <w:rFonts w:asciiTheme="minorHAnsi" w:hAnsiTheme="minorHAnsi" w:cstheme="minorHAnsi"/>
          <w:sz w:val="22"/>
          <w:szCs w:val="22"/>
        </w:rPr>
        <w:t xml:space="preserve">, etc., previsti nei successivi WP. Tale attività si svilupperà nel rispetto delle tempiste del cronoprogramma di progetto e sarà implementata con nuovi stakeholders nell'arco di tutta la sua durata.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Report e database di pertinenza completi di tutte le informazioni relative all'attività svolta ed agli esiti della stessa sono da considerarsi parte dell'attività. </w:t>
      </w:r>
      <w:r w:rsidRPr="006C16C9">
        <w:rPr>
          <w:rFonts w:asciiTheme="minorHAnsi" w:hAnsiTheme="minorHAnsi" w:cstheme="minorHAnsi"/>
          <w:i/>
          <w:iCs/>
          <w:sz w:val="22"/>
          <w:szCs w:val="22"/>
        </w:rPr>
        <w:t>Tale attività è strettamente connessa all’attività 2.3 - Raccolta delle conoscenze di tipo scientifico e tecnico sulle buone pratiche forestali ed agro-forestali sulla resilienza del paesaggio sul/sui territori di competenza e dei soggetti coinvolti, già in corso</w:t>
      </w:r>
      <w:r w:rsidRPr="00E804A6">
        <w:rPr>
          <w:rFonts w:asciiTheme="minorHAnsi" w:hAnsiTheme="minorHAnsi" w:cstheme="minorHAnsi"/>
          <w:sz w:val="22"/>
          <w:szCs w:val="22"/>
        </w:rPr>
        <w:t>.</w:t>
      </w:r>
    </w:p>
    <w:p w14:paraId="69A9A340" w14:textId="77777777" w:rsidR="00E67174" w:rsidRPr="00E804A6" w:rsidRDefault="00E67174" w:rsidP="00E67174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BE8AD69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  <w:lang w:val="en-US"/>
        </w:rPr>
        <w:t>Task 2.5</w:t>
      </w:r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call to submit landscape resilience practices | Lead partner ELGO-DIMITRA; other involved: all [M5- M10] [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attività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posticipata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14:paraId="185162D9" w14:textId="77777777" w:rsidR="00E67174" w:rsidRDefault="00E67174" w:rsidP="00E67174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</w:rPr>
        <w:t xml:space="preserve">Lancio di una call per l'invio di video tematici </w:t>
      </w:r>
      <w:r w:rsidRPr="00E804A6">
        <w:rPr>
          <w:rFonts w:asciiTheme="minorHAnsi" w:hAnsiTheme="minorHAnsi" w:cstheme="minorHAnsi"/>
          <w:sz w:val="22"/>
          <w:szCs w:val="22"/>
        </w:rPr>
        <w:t xml:space="preserve">da parte degli stakeholder e attività di promozione e scouting sul sito web di progetto, mirante a individuare e selezionare le migliori pratiche di resilienza del paesaggio, con facilitazione dell'attività nell'ambito del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. L'operatore economico dovrà porre in essere azioni idonee ed efficaci per </w:t>
      </w:r>
      <w:r w:rsidRPr="006C16C9">
        <w:rPr>
          <w:rFonts w:asciiTheme="minorHAnsi" w:hAnsiTheme="minorHAnsi" w:cstheme="minorHAnsi"/>
          <w:b/>
          <w:bCs/>
          <w:sz w:val="22"/>
          <w:szCs w:val="22"/>
        </w:rPr>
        <w:t>stimolare gli stakeholder alla produzione ed invio</w:t>
      </w:r>
      <w:r w:rsidRPr="00E804A6">
        <w:rPr>
          <w:rFonts w:asciiTheme="minorHAnsi" w:hAnsiTheme="minorHAnsi" w:cstheme="minorHAnsi"/>
          <w:sz w:val="22"/>
          <w:szCs w:val="22"/>
        </w:rPr>
        <w:t xml:space="preserve"> dei video inerenti </w:t>
      </w:r>
      <w:proofErr w:type="gramStart"/>
      <w:r w:rsidRPr="00E804A6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E804A6">
        <w:rPr>
          <w:rFonts w:asciiTheme="minorHAnsi" w:hAnsiTheme="minorHAnsi" w:cstheme="minorHAnsi"/>
          <w:sz w:val="22"/>
          <w:szCs w:val="22"/>
        </w:rPr>
        <w:t xml:space="preserve"> call. </w:t>
      </w:r>
    </w:p>
    <w:p w14:paraId="2366A849" w14:textId="6C7C3F38" w:rsidR="006C16C9" w:rsidRPr="00E804A6" w:rsidRDefault="006C16C9" w:rsidP="00E67174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Per le attività di disseminazione, verranno utilizzati i protocolli e gli strumenti (sito di progetto, social di progetto, ecc.) indicati dai partner che coordinano le attività di progetto.</w:t>
      </w:r>
    </w:p>
    <w:p w14:paraId="0549E02C" w14:textId="77777777" w:rsidR="00E67174" w:rsidRPr="00E804A6" w:rsidRDefault="00E67174" w:rsidP="00E67174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</w:rPr>
        <w:t>Report sulle candidature presentate e database completi di tutte le informazioni relative all'attività svolta ed agli esiti della stessa sono da considerarsi parte dell'attività del servizio</w:t>
      </w:r>
      <w:r w:rsidRPr="00E804A6">
        <w:rPr>
          <w:rFonts w:asciiTheme="minorHAnsi" w:hAnsiTheme="minorHAnsi" w:cstheme="minorHAnsi"/>
          <w:sz w:val="22"/>
          <w:szCs w:val="22"/>
        </w:rPr>
        <w:t>.</w:t>
      </w:r>
    </w:p>
    <w:p w14:paraId="7E29BA71" w14:textId="77777777" w:rsidR="00E67174" w:rsidRPr="00E804A6" w:rsidRDefault="00E67174" w:rsidP="00E671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285AD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  <w:lang w:val="en-US"/>
        </w:rPr>
        <w:t>Task 3.4</w:t>
      </w:r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MOOC on landscape resilience | Lead partner: </w:t>
      </w:r>
      <w:proofErr w:type="spellStart"/>
      <w:r w:rsidRPr="00E804A6">
        <w:rPr>
          <w:rFonts w:asciiTheme="minorHAnsi" w:hAnsiTheme="minorHAnsi" w:cstheme="minorHAnsi"/>
          <w:sz w:val="22"/>
          <w:szCs w:val="22"/>
          <w:lang w:val="en-US"/>
        </w:rPr>
        <w:t>Etifor</w:t>
      </w:r>
      <w:proofErr w:type="spellEnd"/>
      <w:r w:rsidRPr="00E804A6">
        <w:rPr>
          <w:rFonts w:asciiTheme="minorHAnsi" w:hAnsiTheme="minorHAnsi" w:cstheme="minorHAnsi"/>
          <w:sz w:val="22"/>
          <w:szCs w:val="22"/>
          <w:lang w:val="en-US"/>
        </w:rPr>
        <w:t>; other involved: especially CIHEAM, UICN, and all [M14-M22]</w:t>
      </w:r>
    </w:p>
    <w:p w14:paraId="640B0C90" w14:textId="77777777" w:rsidR="006C16C9" w:rsidRDefault="00E67174" w:rsidP="00E67174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C16C9">
        <w:rPr>
          <w:rFonts w:asciiTheme="minorHAnsi" w:hAnsiTheme="minorHAnsi" w:cstheme="minorHAnsi"/>
          <w:b/>
          <w:bCs/>
          <w:sz w:val="22"/>
          <w:szCs w:val="22"/>
        </w:rPr>
        <w:t>Contributo alla</w:t>
      </w:r>
      <w:r w:rsidRPr="00E804A6">
        <w:rPr>
          <w:rFonts w:asciiTheme="minorHAnsi" w:hAnsiTheme="minorHAnsi" w:cstheme="minorHAnsi"/>
          <w:sz w:val="22"/>
          <w:szCs w:val="22"/>
        </w:rPr>
        <w:t xml:space="preserve">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realizzazione di seminari MOOC</w:t>
      </w:r>
      <w:r w:rsidRPr="00E804A6">
        <w:rPr>
          <w:rFonts w:asciiTheme="minorHAnsi" w:hAnsiTheme="minorHAnsi" w:cstheme="minorHAnsi"/>
          <w:sz w:val="22"/>
          <w:szCs w:val="22"/>
        </w:rPr>
        <w:t xml:space="preserve"> (Massive Open Online Courses) sulla resilienza del paesaggio, mediante </w:t>
      </w:r>
      <w:r w:rsidRPr="006C16C9">
        <w:rPr>
          <w:rFonts w:asciiTheme="minorHAnsi" w:hAnsiTheme="minorHAnsi" w:cstheme="minorHAnsi"/>
          <w:b/>
          <w:bCs/>
          <w:sz w:val="22"/>
          <w:szCs w:val="22"/>
        </w:rPr>
        <w:t xml:space="preserve">concorso alla definizione dei learning </w:t>
      </w:r>
      <w:proofErr w:type="spellStart"/>
      <w:r w:rsidRPr="006C16C9">
        <w:rPr>
          <w:rFonts w:asciiTheme="minorHAnsi" w:hAnsiTheme="minorHAnsi" w:cstheme="minorHAnsi"/>
          <w:b/>
          <w:bCs/>
          <w:sz w:val="22"/>
          <w:szCs w:val="22"/>
        </w:rPr>
        <w:t>objectives</w:t>
      </w:r>
      <w:proofErr w:type="spellEnd"/>
      <w:r w:rsidRPr="006C1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4A6">
        <w:rPr>
          <w:rFonts w:asciiTheme="minorHAnsi" w:hAnsiTheme="minorHAnsi" w:cstheme="minorHAnsi"/>
          <w:sz w:val="22"/>
          <w:szCs w:val="22"/>
        </w:rPr>
        <w:t xml:space="preserve">per il Land Lab di riferimento, motivata sulla base delle task precedenti, appropriata </w:t>
      </w:r>
      <w:r w:rsidRPr="006C16C9">
        <w:rPr>
          <w:rFonts w:asciiTheme="minorHAnsi" w:hAnsiTheme="minorHAnsi" w:cstheme="minorHAnsi"/>
          <w:b/>
          <w:bCs/>
          <w:sz w:val="22"/>
          <w:szCs w:val="22"/>
        </w:rPr>
        <w:t>promozione</w:t>
      </w:r>
      <w:r w:rsidRPr="00E804A6">
        <w:rPr>
          <w:rFonts w:asciiTheme="minorHAnsi" w:hAnsiTheme="minorHAnsi" w:cstheme="minorHAnsi"/>
          <w:sz w:val="22"/>
          <w:szCs w:val="22"/>
        </w:rPr>
        <w:t xml:space="preserve"> tra gli stakeholder del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nei canali di </w:t>
      </w:r>
      <w:r w:rsidRPr="006C16C9">
        <w:rPr>
          <w:rFonts w:asciiTheme="minorHAnsi" w:hAnsiTheme="minorHAnsi" w:cstheme="minorHAnsi"/>
          <w:b/>
          <w:bCs/>
          <w:sz w:val="22"/>
          <w:szCs w:val="22"/>
        </w:rPr>
        <w:t xml:space="preserve">disseminazione </w:t>
      </w:r>
      <w:r w:rsidRPr="00E804A6">
        <w:rPr>
          <w:rFonts w:asciiTheme="minorHAnsi" w:hAnsiTheme="minorHAnsi" w:cstheme="minorHAnsi"/>
          <w:sz w:val="22"/>
          <w:szCs w:val="22"/>
        </w:rPr>
        <w:t xml:space="preserve">di progetto e diretti, </w:t>
      </w:r>
      <w:r w:rsidRPr="006C16C9">
        <w:rPr>
          <w:rFonts w:asciiTheme="minorHAnsi" w:hAnsiTheme="minorHAnsi" w:cstheme="minorHAnsi"/>
          <w:b/>
          <w:bCs/>
          <w:sz w:val="22"/>
          <w:szCs w:val="22"/>
        </w:rPr>
        <w:t xml:space="preserve">individuazione e invito degli stakeholder </w:t>
      </w:r>
      <w:r w:rsidRPr="00E804A6">
        <w:rPr>
          <w:rFonts w:asciiTheme="minorHAnsi" w:hAnsiTheme="minorHAnsi" w:cstheme="minorHAnsi"/>
          <w:sz w:val="22"/>
          <w:szCs w:val="22"/>
        </w:rPr>
        <w:t xml:space="preserve">da candidare al corso, secondo indicazioni condivise con il consorzio di progetto. </w:t>
      </w:r>
    </w:p>
    <w:p w14:paraId="0A2F04A9" w14:textId="3EA53C67" w:rsidR="00E67174" w:rsidRPr="006C16C9" w:rsidRDefault="00E67174" w:rsidP="00E67174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6C9">
        <w:rPr>
          <w:rFonts w:asciiTheme="minorHAnsi" w:hAnsiTheme="minorHAnsi" w:cstheme="minorHAnsi"/>
          <w:b/>
          <w:bCs/>
          <w:sz w:val="22"/>
          <w:szCs w:val="22"/>
        </w:rPr>
        <w:t>Report di pertinenza e database completi di tutte le informazioni relative all’attività svolta ed agli esiti della stessa sono da considerarsi parte dell’attività del servizio</w:t>
      </w:r>
    </w:p>
    <w:p w14:paraId="48D26D75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E05D5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804A6">
        <w:rPr>
          <w:rFonts w:asciiTheme="minorHAnsi" w:hAnsiTheme="minorHAnsi" w:cstheme="minorHAnsi"/>
          <w:b/>
          <w:bCs/>
          <w:sz w:val="22"/>
          <w:szCs w:val="22"/>
          <w:lang w:val="en-US"/>
        </w:rPr>
        <w:t>Task 4.1</w:t>
      </w:r>
      <w:r w:rsidRPr="00E804A6">
        <w:rPr>
          <w:rFonts w:asciiTheme="minorHAnsi" w:hAnsiTheme="minorHAnsi" w:cstheme="minorHAnsi"/>
          <w:sz w:val="22"/>
          <w:szCs w:val="22"/>
          <w:lang w:val="en-US"/>
        </w:rPr>
        <w:t xml:space="preserve"> – Engagement through farmers and foresters' channels | Lead partner: DREAM; other involved: all (excluding EFI, CIFOR-ICRAF and UICN) [M9-M30]</w:t>
      </w:r>
    </w:p>
    <w:p w14:paraId="53F29E89" w14:textId="77777777" w:rsidR="00E67174" w:rsidRPr="00E804A6" w:rsidRDefault="00E67174" w:rsidP="00E67174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804A6">
        <w:rPr>
          <w:rFonts w:asciiTheme="minorHAnsi" w:hAnsiTheme="minorHAnsi" w:cstheme="minorHAnsi"/>
          <w:b/>
          <w:bCs/>
        </w:rPr>
        <w:t xml:space="preserve">Coinvolgimento stakeholders e trasferimento delle conoscenze tecniche e best </w:t>
      </w:r>
      <w:proofErr w:type="spellStart"/>
      <w:r w:rsidRPr="00E804A6">
        <w:rPr>
          <w:rFonts w:asciiTheme="minorHAnsi" w:hAnsiTheme="minorHAnsi" w:cstheme="minorHAnsi"/>
          <w:b/>
          <w:bCs/>
        </w:rPr>
        <w:t>practice</w:t>
      </w:r>
      <w:proofErr w:type="spellEnd"/>
      <w:r w:rsidRPr="00E804A6">
        <w:rPr>
          <w:rFonts w:asciiTheme="minorHAnsi" w:hAnsiTheme="minorHAnsi" w:cstheme="minorHAnsi"/>
          <w:b/>
          <w:bCs/>
        </w:rPr>
        <w:t xml:space="preserve"> alla scala locale (Sardegna)</w:t>
      </w:r>
      <w:r w:rsidRPr="00E804A6">
        <w:rPr>
          <w:rFonts w:asciiTheme="minorHAnsi" w:hAnsiTheme="minorHAnsi" w:cstheme="minorHAnsi"/>
        </w:rPr>
        <w:t xml:space="preserve"> per la cura e il presidio del territorio, </w:t>
      </w:r>
      <w:r w:rsidRPr="00E804A6">
        <w:rPr>
          <w:rFonts w:asciiTheme="minorHAnsi" w:hAnsiTheme="minorHAnsi" w:cstheme="minorHAnsi"/>
          <w:b/>
          <w:bCs/>
        </w:rPr>
        <w:t>attraverso il coinvolgimento attivo degli operatori agricoli e forestali, e loro associazioni di categoria, mediante la partecipazione a fiere, esibizioni, e altri eventi specifici del settore</w:t>
      </w:r>
      <w:r w:rsidRPr="00E804A6">
        <w:rPr>
          <w:rFonts w:asciiTheme="minorHAnsi" w:hAnsiTheme="minorHAnsi" w:cstheme="minorHAnsi"/>
        </w:rPr>
        <w:t xml:space="preserve">: realizzazione di </w:t>
      </w:r>
      <w:r w:rsidRPr="00E804A6">
        <w:rPr>
          <w:rFonts w:asciiTheme="minorHAnsi" w:hAnsiTheme="minorHAnsi" w:cstheme="minorHAnsi"/>
          <w:b/>
          <w:bCs/>
        </w:rPr>
        <w:t>tre</w:t>
      </w:r>
      <w:r w:rsidRPr="00E804A6">
        <w:rPr>
          <w:rFonts w:asciiTheme="minorHAnsi" w:hAnsiTheme="minorHAnsi" w:cstheme="minorHAnsi"/>
        </w:rPr>
        <w:t xml:space="preserve"> sessioni informative in Sardegna durante eventi quali festival e fiere con obiettivo di aumentare il numero di agricoltori e forestali coinvolti formalmente nel </w:t>
      </w:r>
      <w:proofErr w:type="spellStart"/>
      <w:r w:rsidRPr="00E804A6">
        <w:rPr>
          <w:rFonts w:asciiTheme="minorHAnsi" w:hAnsiTheme="minorHAnsi" w:cstheme="minorHAnsi"/>
        </w:rPr>
        <w:t>LandLab</w:t>
      </w:r>
      <w:proofErr w:type="spellEnd"/>
      <w:r w:rsidRPr="00E804A6">
        <w:rPr>
          <w:rFonts w:asciiTheme="minorHAnsi" w:hAnsiTheme="minorHAnsi" w:cstheme="minorHAnsi"/>
        </w:rPr>
        <w:t xml:space="preserve">. </w:t>
      </w:r>
      <w:proofErr w:type="gramStart"/>
      <w:r w:rsidRPr="00E804A6">
        <w:rPr>
          <w:rFonts w:asciiTheme="minorHAnsi" w:hAnsiTheme="minorHAnsi" w:cstheme="minorHAnsi"/>
        </w:rPr>
        <w:t>Il team</w:t>
      </w:r>
      <w:proofErr w:type="gramEnd"/>
      <w:r w:rsidRPr="00E804A6">
        <w:rPr>
          <w:rFonts w:asciiTheme="minorHAnsi" w:hAnsiTheme="minorHAnsi" w:cstheme="minorHAnsi"/>
        </w:rPr>
        <w:t xml:space="preserve"> di MEDSEA e FORESTAS potrà essere coinvolto e chiamato </w:t>
      </w:r>
      <w:r w:rsidRPr="00E804A6">
        <w:rPr>
          <w:rFonts w:asciiTheme="minorHAnsi" w:hAnsiTheme="minorHAnsi" w:cstheme="minorHAnsi"/>
        </w:rPr>
        <w:lastRenderedPageBreak/>
        <w:t>a partecipare anche nelle tre sessioni informative che il partner DREAM organizzerà in altre regioni italiane;</w:t>
      </w:r>
    </w:p>
    <w:p w14:paraId="1DB8C5AA" w14:textId="77777777" w:rsidR="00E67174" w:rsidRPr="00E804A6" w:rsidRDefault="00E67174" w:rsidP="00E67174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804A6">
        <w:rPr>
          <w:rFonts w:asciiTheme="minorHAnsi" w:hAnsiTheme="minorHAnsi" w:cstheme="minorHAnsi"/>
        </w:rPr>
        <w:t xml:space="preserve">L'approccio sarà condiviso con il consorzio di progetto, finalizzandolo con prodotti specifici. Le sessioni avverranno mediante il coinvolgimento delle comunità locali di riferimento ai fini della condivisione e trasferimento delle conoscenze. </w:t>
      </w:r>
      <w:r w:rsidRPr="00E804A6">
        <w:rPr>
          <w:rFonts w:asciiTheme="minorHAnsi" w:hAnsiTheme="minorHAnsi" w:cstheme="minorHAnsi"/>
          <w:b/>
          <w:bCs/>
        </w:rPr>
        <w:t>Report di pertinenza e database completi di tutte le informazioni relative agli stakeholders e all’attività svolta, nonché agli esiti della stessa, sono da considerarsi parte dell'attività del servizio. Ogni sessione dovrà coinvolgere almeno 20 nuovi stakeholders.</w:t>
      </w:r>
    </w:p>
    <w:p w14:paraId="5483C0B5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8EDC60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Per tutte le task sopra indicate, l'indicatore di successo della task (Key Performance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Indicator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) è rappresentato dalle relazioni, documenti e fogli elettronici inviati ai Work Package (WP) leader, secondo le loro richieste ed indicazioni e previa approvazione da parte dell'Agenzia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>, recanti il contributo per la Sardegna ai Deliverables di progetto, nonché dalla puntuale esecuzione di eventi e sessioni informative ed alla puntuale e corretta corrispondenza via email con il partenariato di progetto in merito alle task ricadenti nella propria responsabilità.</w:t>
      </w:r>
    </w:p>
    <w:p w14:paraId="71A92976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884DD" w14:textId="7D7A9845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  <w:r w:rsidRPr="00E804A6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="00E804A6" w:rsidRPr="00E804A6">
        <w:rPr>
          <w:rFonts w:asciiTheme="minorHAnsi" w:hAnsiTheme="minorHAnsi" w:cstheme="minorHAnsi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Ambassador dovrà supportare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fornendo supporto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al reclutamento e coinvolgimento degli stakeholder</w:t>
      </w:r>
      <w:r w:rsidRPr="00E804A6">
        <w:rPr>
          <w:rFonts w:asciiTheme="minorHAnsi" w:hAnsiTheme="minorHAnsi" w:cstheme="minorHAnsi"/>
          <w:sz w:val="22"/>
          <w:szCs w:val="22"/>
        </w:rPr>
        <w:t xml:space="preserve"> per la Sardegna (già individuati nelle task sopradescritte), per l’organizzazione degli eventi previsti nelle seguenti attività: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2.4</w:t>
      </w:r>
      <w:r w:rsidRPr="00E804A6">
        <w:rPr>
          <w:rFonts w:asciiTheme="minorHAnsi" w:hAnsiTheme="minorHAnsi" w:cstheme="minorHAnsi"/>
          <w:sz w:val="22"/>
          <w:szCs w:val="22"/>
        </w:rPr>
        <w:t xml:space="preserve"> (survey e workshop per la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),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3.2</w:t>
      </w:r>
      <w:r w:rsidRPr="00E804A6">
        <w:rPr>
          <w:rFonts w:asciiTheme="minorHAnsi" w:hAnsiTheme="minorHAnsi" w:cstheme="minorHAnsi"/>
          <w:sz w:val="22"/>
          <w:szCs w:val="22"/>
        </w:rPr>
        <w:t xml:space="preserve"> (2 workshop relativo all'evento di lancio della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in Sardegna),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3.3</w:t>
      </w:r>
      <w:r w:rsidRPr="00E804A6">
        <w:rPr>
          <w:rFonts w:asciiTheme="minorHAnsi" w:hAnsiTheme="minorHAnsi" w:cstheme="minorHAnsi"/>
          <w:sz w:val="22"/>
          <w:szCs w:val="22"/>
        </w:rPr>
        <w:t xml:space="preserve"> (workshop di 2 giorni relativo alla governance di paesaggio), </w:t>
      </w:r>
      <w:r w:rsidRPr="00E804A6">
        <w:rPr>
          <w:rFonts w:asciiTheme="minorHAnsi" w:hAnsiTheme="minorHAnsi" w:cstheme="minorHAnsi"/>
          <w:b/>
          <w:bCs/>
          <w:sz w:val="22"/>
          <w:szCs w:val="22"/>
        </w:rPr>
        <w:t>4.2</w:t>
      </w:r>
      <w:r w:rsidRPr="00E804A6">
        <w:rPr>
          <w:rFonts w:asciiTheme="minorHAnsi" w:hAnsiTheme="minorHAnsi" w:cstheme="minorHAnsi"/>
          <w:sz w:val="22"/>
          <w:szCs w:val="22"/>
        </w:rPr>
        <w:t xml:space="preserve"> (showroom del </w:t>
      </w:r>
      <w:proofErr w:type="spellStart"/>
      <w:r w:rsidRPr="00E804A6">
        <w:rPr>
          <w:rFonts w:asciiTheme="minorHAnsi" w:hAnsiTheme="minorHAnsi" w:cstheme="minorHAnsi"/>
          <w:sz w:val="22"/>
          <w:szCs w:val="22"/>
        </w:rPr>
        <w:t>LandLabs</w:t>
      </w:r>
      <w:proofErr w:type="spellEnd"/>
      <w:r w:rsidRPr="00E804A6">
        <w:rPr>
          <w:rFonts w:asciiTheme="minorHAnsi" w:hAnsiTheme="minorHAnsi" w:cstheme="minorHAnsi"/>
          <w:sz w:val="22"/>
          <w:szCs w:val="22"/>
        </w:rPr>
        <w:t xml:space="preserve"> in Sardegna). </w:t>
      </w:r>
    </w:p>
    <w:p w14:paraId="38FDC277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A2133" w14:textId="596816A4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="00E804A6"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dovrà svolgere le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attività di facilitazione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nell’ambito delle attività organizzate dai partner DREAM e FORESTAS nei Task: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2.4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(survey e workshop per la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LandNet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3.2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 workshop relativo all'evento di lancio della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LandLab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Sardegna),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3.3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(workshop di 2 giorni relativo alla governance di paesaggio);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4.3 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(visita in campo del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LandLabs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Sardegna).</w:t>
      </w:r>
    </w:p>
    <w:p w14:paraId="5778A241" w14:textId="77777777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573B3" w14:textId="64F26E64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particolare, dovrà adottare le linee guida sulla metodologia per la facilitazione (suggerite: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Word Cafè + Case clinic technique for group interviews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nell’ambito degli eventi dei task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2.4+3.2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previsti 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>dal progetto e, nello specifico, supportare la figura di facilitatore del partner DREAM durante l’evento de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20 ottobre 2023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(2-6 ore) ad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Alà dei Sardi 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sul tema della resilienza del paesaggio nella gestione delle sugherete e 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>facilitare l’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evento (2-6 ore) sul tema della resilienza del paesaggio nelle aree percorse dagli incendi 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verrà svolto </w:t>
      </w:r>
      <w:r w:rsidR="006C16C9" w:rsidRPr="006C16C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en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tro il mese di novembre 2023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8647CEE" w14:textId="77777777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19ADAB" w14:textId="12963D82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quanto riguarda il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Task 4.2, 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durante lo showroom organizzato in Sardegna dai partner di progetto, il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potrà supportare la </w:t>
      </w:r>
      <w:r w:rsidR="006C16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partecipazione degli stakeholder attraverso la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realizzazione di video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sulla raccolta di soluzioni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20) partecipanti che 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>avranno partecipato con i propri video,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6C9">
        <w:rPr>
          <w:rFonts w:asciiTheme="minorHAnsi" w:hAnsiTheme="minorHAnsi" w:cstheme="minorHAnsi"/>
          <w:color w:val="000000" w:themeColor="text1"/>
          <w:sz w:val="22"/>
          <w:szCs w:val="22"/>
        </w:rPr>
        <w:t>potranno partecipare gratuitamente allo showroom.</w:t>
      </w:r>
    </w:p>
    <w:p w14:paraId="5E2878F2" w14:textId="7A1FE1F2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="00E804A6"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supporterà i partner nell’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organizzazione 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delle attività previste dall’attività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4.3 (visita in campo del </w:t>
      </w:r>
      <w:proofErr w:type="spellStart"/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LandLabs</w:t>
      </w:r>
      <w:proofErr w:type="spellEnd"/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Sardegna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che prevede la partecipazione di almeno 30 partecipanti), supportando il partner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(che curerà gli aspetti più pratici) nella presentazione delle best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practices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selezionate e, attraverso metodologie partecipative concordate col partner di riferimento, discutere con i partecipanti le corrispondenti soluzioni di buone pratiche identificate negli altri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LandLabs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B4D778" w14:textId="77777777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BB0497" w14:textId="17088F83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generale, il </w:t>
      </w:r>
      <w:proofErr w:type="spellStart"/>
      <w:r w:rsidR="00E804A6"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dovrà supportare la creazione del materiale fotografico e video delle attività svolte che saranno utilizzate nelle attività di comunicazione di progetto. Dovrà inoltre supportare la somministrazione di questionari per la raccolta di informazioni (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pre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durante e post evento) e l’elaborazione 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dei risultati.</w:t>
      </w:r>
    </w:p>
    <w:p w14:paraId="1EABE136" w14:textId="77777777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EB8B9D" w14:textId="5E29FE25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="00E804A6"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dovrà supportare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FoReSTAS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nella preparazione delle attività previste nel Task </w:t>
      </w:r>
      <w:r w:rsidRPr="00E804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4.4</w:t>
      </w: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 prevede la partecipazione dei partner di progetto ad info session durante eventi di rilievo nazionale, organizzati in paesi non inclusi nel partenariato, sulla resilienza a scala di paesaggio. </w:t>
      </w:r>
    </w:p>
    <w:p w14:paraId="6157EC50" w14:textId="77777777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119095" w14:textId="1D511A2F" w:rsidR="00E67174" w:rsidRPr="00E804A6" w:rsidRDefault="00E67174" w:rsidP="00E671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="00E804A6"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Resilience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Ambassador potrebbe essere chiamato a seguire i </w:t>
      </w:r>
      <w:proofErr w:type="spellStart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>LandLabs</w:t>
      </w:r>
      <w:proofErr w:type="spellEnd"/>
      <w:r w:rsidRPr="00E80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organizzati negli altri paesi, qualora i partner di progetto riuscissero ad organizzare gli eventi in versione ibrida con traduzione simultanea.</w:t>
      </w:r>
    </w:p>
    <w:p w14:paraId="0DE45D9A" w14:textId="77777777" w:rsidR="00E67174" w:rsidRPr="00E804A6" w:rsidRDefault="00E67174" w:rsidP="00E671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0AC82" w14:textId="77777777" w:rsidR="00E67174" w:rsidRPr="00E804A6" w:rsidRDefault="00E67174" w:rsidP="00C476D5">
      <w:pPr>
        <w:rPr>
          <w:sz w:val="22"/>
          <w:szCs w:val="22"/>
        </w:rPr>
      </w:pPr>
    </w:p>
    <w:sectPr w:rsidR="00E67174" w:rsidRPr="00E804A6" w:rsidSect="006F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2" w:right="1134" w:bottom="1111" w:left="1134" w:header="323" w:footer="32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AE14" w14:textId="77777777" w:rsidR="007065CB" w:rsidRDefault="007065CB">
      <w:r>
        <w:separator/>
      </w:r>
    </w:p>
  </w:endnote>
  <w:endnote w:type="continuationSeparator" w:id="0">
    <w:p w14:paraId="30268EAC" w14:textId="77777777" w:rsidR="007065CB" w:rsidRDefault="0070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9A8D" w14:textId="77777777" w:rsidR="00B8775D" w:rsidRDefault="00B877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0BC2" w14:textId="77777777" w:rsidR="00FE1975" w:rsidRPr="006F21DA" w:rsidRDefault="00FE1975" w:rsidP="006F21DA">
    <w:pPr>
      <w:tabs>
        <w:tab w:val="center" w:pos="4819"/>
        <w:tab w:val="right" w:pos="9612"/>
      </w:tabs>
      <w:autoSpaceDE w:val="0"/>
      <w:jc w:val="center"/>
      <w:rPr>
        <w:rFonts w:ascii="Arial" w:eastAsia="TrebuchetMS" w:hAnsi="Arial" w:cs="Arial"/>
        <w:b/>
        <w:sz w:val="16"/>
        <w:szCs w:val="16"/>
        <w:lang w:val="en-US"/>
      </w:rPr>
    </w:pPr>
  </w:p>
  <w:p w14:paraId="1780F31C" w14:textId="77777777" w:rsidR="006F21DA" w:rsidRPr="006F21DA" w:rsidRDefault="006F21DA" w:rsidP="006F21DA">
    <w:pPr>
      <w:tabs>
        <w:tab w:val="center" w:pos="4819"/>
        <w:tab w:val="right" w:pos="9612"/>
      </w:tabs>
      <w:autoSpaceDE w:val="0"/>
      <w:jc w:val="center"/>
      <w:rPr>
        <w:rFonts w:ascii="Arial" w:eastAsia="TrebuchetMS" w:hAnsi="Arial" w:cs="Arial"/>
        <w:b/>
        <w:sz w:val="16"/>
        <w:szCs w:val="16"/>
        <w:lang w:val="en-US"/>
      </w:rPr>
    </w:pPr>
    <w:r w:rsidRPr="006F21DA">
      <w:rPr>
        <w:rFonts w:ascii="Arial" w:eastAsia="TrebuchetMS" w:hAnsi="Arial" w:cs="Arial"/>
        <w:b/>
        <w:sz w:val="16"/>
        <w:szCs w:val="16"/>
        <w:lang w:val="en-US"/>
      </w:rPr>
      <w:t>MEDSEA</w:t>
    </w:r>
  </w:p>
  <w:p w14:paraId="48FB46A6" w14:textId="77777777" w:rsidR="006F21DA" w:rsidRPr="006F21DA" w:rsidRDefault="006F21DA" w:rsidP="006F21DA">
    <w:pPr>
      <w:tabs>
        <w:tab w:val="center" w:pos="4819"/>
        <w:tab w:val="right" w:pos="9612"/>
      </w:tabs>
      <w:autoSpaceDE w:val="0"/>
      <w:jc w:val="center"/>
      <w:rPr>
        <w:rFonts w:ascii="Arial" w:eastAsia="TrebuchetMS" w:hAnsi="Arial" w:cs="Arial"/>
        <w:b/>
        <w:bCs/>
        <w:sz w:val="16"/>
        <w:szCs w:val="16"/>
        <w:lang w:val="en-US"/>
      </w:rPr>
    </w:pPr>
    <w:r w:rsidRPr="006F21DA">
      <w:rPr>
        <w:rFonts w:ascii="Arial" w:eastAsia="TrebuchetMS" w:hAnsi="Arial" w:cs="Arial"/>
        <w:b/>
        <w:bCs/>
        <w:sz w:val="16"/>
        <w:szCs w:val="16"/>
        <w:lang w:val="en-US"/>
      </w:rPr>
      <w:t>Mediterranean Sea and Coast Foundation</w:t>
    </w:r>
  </w:p>
  <w:p w14:paraId="6AD22119" w14:textId="6E7A1786" w:rsidR="006F21DA" w:rsidRPr="006F21DA" w:rsidRDefault="006F21DA" w:rsidP="007B3C97">
    <w:pPr>
      <w:widowControl/>
      <w:suppressAutoHyphens w:val="0"/>
      <w:ind w:hanging="142"/>
      <w:jc w:val="center"/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</w:pPr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 xml:space="preserve">Sede Legale: </w:t>
    </w:r>
    <w:r w:rsidR="00B8775D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 xml:space="preserve">c/o Studio Legale Conti, </w:t>
    </w:r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>Via Piemonte n°33, 09127 Cagliari - Sede operativa: via Nazario Sauro, n°1, 09123 Cagliari (</w:t>
    </w:r>
    <w:proofErr w:type="spellStart"/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>Italy</w:t>
    </w:r>
    <w:proofErr w:type="spellEnd"/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>)</w:t>
    </w:r>
  </w:p>
  <w:p w14:paraId="1A4CB146" w14:textId="77777777" w:rsidR="006F21DA" w:rsidRPr="006F21DA" w:rsidRDefault="006F21DA" w:rsidP="006F21DA">
    <w:pPr>
      <w:widowControl/>
      <w:suppressAutoHyphens w:val="0"/>
      <w:jc w:val="center"/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</w:pPr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 xml:space="preserve">C.F. 92228880925 / </w:t>
    </w:r>
    <w:proofErr w:type="spellStart"/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>P.Iva</w:t>
    </w:r>
    <w:proofErr w:type="spellEnd"/>
    <w:r w:rsidRPr="006F21DA">
      <w:rPr>
        <w:rFonts w:ascii="Arial" w:eastAsia="Times New Roman" w:hAnsi="Arial" w:cs="Arial"/>
        <w:color w:val="000000"/>
        <w:kern w:val="0"/>
        <w:sz w:val="16"/>
        <w:szCs w:val="16"/>
        <w:lang w:eastAsia="it-IT" w:bidi="ar-SA"/>
      </w:rPr>
      <w:t xml:space="preserve"> 03702320924</w:t>
    </w:r>
  </w:p>
  <w:p w14:paraId="381E7943" w14:textId="77777777" w:rsidR="009E2596" w:rsidRPr="006F21DA" w:rsidRDefault="006F21DA" w:rsidP="00B46F14">
    <w:pPr>
      <w:autoSpaceDE w:val="0"/>
      <w:spacing w:before="120"/>
      <w:jc w:val="center"/>
      <w:rPr>
        <w:rFonts w:ascii="Arial" w:hAnsi="Arial" w:cs="Arial"/>
        <w:sz w:val="16"/>
        <w:szCs w:val="16"/>
      </w:rPr>
    </w:pPr>
    <w:r w:rsidRPr="006F21DA">
      <w:rPr>
        <w:rFonts w:ascii="Arial" w:eastAsia="TrebuchetMS" w:hAnsi="Arial" w:cs="Arial"/>
        <w:sz w:val="16"/>
        <w:szCs w:val="16"/>
      </w:rPr>
      <w:t>www.medseafoundation.org / info@medseafoundation.org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FBBB" w14:textId="77777777" w:rsidR="00B8775D" w:rsidRDefault="00B877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3AF6" w14:textId="77777777" w:rsidR="007065CB" w:rsidRDefault="007065CB">
      <w:r>
        <w:separator/>
      </w:r>
    </w:p>
  </w:footnote>
  <w:footnote w:type="continuationSeparator" w:id="0">
    <w:p w14:paraId="325B772C" w14:textId="77777777" w:rsidR="007065CB" w:rsidRDefault="0070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9790" w14:textId="77777777" w:rsidR="00B8775D" w:rsidRDefault="00B877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EBE6" w14:textId="77777777" w:rsidR="006F21DA" w:rsidRPr="00480CF2" w:rsidRDefault="006F21DA" w:rsidP="006F21DA">
    <w:pPr>
      <w:pStyle w:val="Intestazione"/>
      <w:rPr>
        <w:rFonts w:ascii="Trebuchet MS" w:hAnsi="Trebuchet MS"/>
        <w:color w:val="000000"/>
        <w:sz w:val="28"/>
        <w:szCs w:val="28"/>
      </w:rPr>
    </w:pPr>
    <w:r>
      <w:rPr>
        <w:rFonts w:ascii="Trebuchet MS" w:hAnsi="Trebuchet MS"/>
        <w:noProof/>
        <w:color w:val="000000"/>
        <w:sz w:val="28"/>
        <w:szCs w:val="28"/>
      </w:rPr>
      <w:tab/>
    </w:r>
    <w:r w:rsidR="005D5A08" w:rsidRPr="00480CF2">
      <w:rPr>
        <w:rFonts w:ascii="Trebuchet MS" w:hAnsi="Trebuchet MS"/>
        <w:noProof/>
        <w:color w:val="000000"/>
        <w:sz w:val="28"/>
        <w:szCs w:val="28"/>
      </w:rPr>
      <w:drawing>
        <wp:inline distT="0" distB="0" distL="0" distR="0" wp14:anchorId="0EC5FEBA" wp14:editId="5CC9DD04">
          <wp:extent cx="714375" cy="714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19605" w14:textId="77777777" w:rsidR="006F21DA" w:rsidRPr="007B3C97" w:rsidRDefault="006F21DA" w:rsidP="006F21DA">
    <w:pPr>
      <w:pStyle w:val="Intestazione"/>
      <w:spacing w:before="120"/>
      <w:jc w:val="center"/>
      <w:rPr>
        <w:rFonts w:ascii="Arial" w:hAnsi="Arial" w:cs="Arial"/>
        <w:color w:val="767171"/>
        <w:sz w:val="18"/>
        <w:szCs w:val="20"/>
      </w:rPr>
    </w:pPr>
    <w:proofErr w:type="spellStart"/>
    <w:r w:rsidRPr="007B3C97">
      <w:rPr>
        <w:rFonts w:ascii="Arial" w:hAnsi="Arial" w:cs="Arial"/>
        <w:color w:val="767171"/>
        <w:sz w:val="18"/>
        <w:szCs w:val="20"/>
      </w:rPr>
      <w:t>Mediterranean</w:t>
    </w:r>
    <w:proofErr w:type="spellEnd"/>
    <w:r w:rsidRPr="007B3C97">
      <w:rPr>
        <w:rFonts w:ascii="Arial" w:hAnsi="Arial" w:cs="Arial"/>
        <w:color w:val="767171"/>
        <w:sz w:val="18"/>
        <w:szCs w:val="20"/>
      </w:rPr>
      <w:t xml:space="preserve"> Sea and </w:t>
    </w:r>
    <w:proofErr w:type="spellStart"/>
    <w:r w:rsidRPr="007B3C97">
      <w:rPr>
        <w:rFonts w:ascii="Arial" w:hAnsi="Arial" w:cs="Arial"/>
        <w:color w:val="767171"/>
        <w:sz w:val="18"/>
        <w:szCs w:val="20"/>
      </w:rPr>
      <w:t>Coast</w:t>
    </w:r>
    <w:proofErr w:type="spellEnd"/>
    <w:r w:rsidRPr="007B3C97">
      <w:rPr>
        <w:rFonts w:ascii="Arial" w:hAnsi="Arial" w:cs="Arial"/>
        <w:color w:val="767171"/>
        <w:sz w:val="18"/>
        <w:szCs w:val="20"/>
      </w:rPr>
      <w:t xml:space="preserve"> Foundation</w:t>
    </w:r>
  </w:p>
  <w:p w14:paraId="1C5511E3" w14:textId="77777777" w:rsidR="006F21DA" w:rsidRDefault="006F21DA" w:rsidP="006F21DA">
    <w:pPr>
      <w:pStyle w:val="Intestazione"/>
      <w:jc w:val="center"/>
      <w:rPr>
        <w:rFonts w:ascii="Trebuchet MS" w:hAnsi="Trebuchet MS"/>
        <w:color w:val="33A3A3"/>
        <w:sz w:val="22"/>
        <w:szCs w:val="22"/>
      </w:rPr>
    </w:pPr>
  </w:p>
  <w:p w14:paraId="069C03AA" w14:textId="77777777" w:rsidR="006F21DA" w:rsidRDefault="005D5A08" w:rsidP="006F21DA">
    <w:pPr>
      <w:pStyle w:val="Intestazione"/>
      <w:jc w:val="center"/>
      <w:rPr>
        <w:rFonts w:ascii="Trebuchet MS" w:hAnsi="Trebuchet MS"/>
        <w:color w:val="33A3A3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30CC2D" wp14:editId="3615BF80">
              <wp:simplePos x="0" y="0"/>
              <wp:positionH relativeFrom="column">
                <wp:posOffset>-739775</wp:posOffset>
              </wp:positionH>
              <wp:positionV relativeFrom="paragraph">
                <wp:posOffset>55880</wp:posOffset>
              </wp:positionV>
              <wp:extent cx="7559675" cy="12065"/>
              <wp:effectExtent l="12700" t="8255" r="952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59675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A3A3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Line 2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3a3a3" from="-58.25pt,4.4pt" to="537pt,5.35pt" w14:anchorId="0242B1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">
              <v:stroke dashstyle="1 1"/>
            </v:line>
          </w:pict>
        </mc:Fallback>
      </mc:AlternateContent>
    </w:r>
  </w:p>
  <w:p w14:paraId="2A454E33" w14:textId="77777777" w:rsidR="009E2596" w:rsidRDefault="009E2596" w:rsidP="006F21DA">
    <w:pPr>
      <w:pStyle w:val="Intestazione"/>
      <w:tabs>
        <w:tab w:val="left" w:pos="7152"/>
      </w:tabs>
      <w:rPr>
        <w:rFonts w:ascii="Trebuchet MS" w:hAnsi="Trebuchet MS"/>
        <w:color w:val="33A3A3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3CD5" w14:textId="77777777" w:rsidR="00B8775D" w:rsidRDefault="00B877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D2F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169C"/>
    <w:multiLevelType w:val="hybridMultilevel"/>
    <w:tmpl w:val="0A580EA0"/>
    <w:lvl w:ilvl="0" w:tplc="689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0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E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A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A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2B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BF3EAA"/>
    <w:multiLevelType w:val="hybridMultilevel"/>
    <w:tmpl w:val="114A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85A"/>
    <w:multiLevelType w:val="hybridMultilevel"/>
    <w:tmpl w:val="0C94031A"/>
    <w:lvl w:ilvl="0" w:tplc="4BD4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A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8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CB0A03"/>
    <w:multiLevelType w:val="hybridMultilevel"/>
    <w:tmpl w:val="936E5846"/>
    <w:lvl w:ilvl="0" w:tplc="0978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80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1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2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D87772"/>
    <w:multiLevelType w:val="hybridMultilevel"/>
    <w:tmpl w:val="26943FB8"/>
    <w:lvl w:ilvl="0" w:tplc="F14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6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6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0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6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1F0AB4"/>
    <w:multiLevelType w:val="hybridMultilevel"/>
    <w:tmpl w:val="93C8F454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992C9E"/>
    <w:multiLevelType w:val="hybridMultilevel"/>
    <w:tmpl w:val="D2246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45C8B"/>
    <w:multiLevelType w:val="hybridMultilevel"/>
    <w:tmpl w:val="1AD60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6465">
    <w:abstractNumId w:val="0"/>
  </w:num>
  <w:num w:numId="2" w16cid:durableId="789973702">
    <w:abstractNumId w:val="8"/>
  </w:num>
  <w:num w:numId="3" w16cid:durableId="1052657828">
    <w:abstractNumId w:val="6"/>
  </w:num>
  <w:num w:numId="4" w16cid:durableId="1922332530">
    <w:abstractNumId w:val="7"/>
  </w:num>
  <w:num w:numId="5" w16cid:durableId="1270963981">
    <w:abstractNumId w:val="5"/>
  </w:num>
  <w:num w:numId="6" w16cid:durableId="908156760">
    <w:abstractNumId w:val="4"/>
  </w:num>
  <w:num w:numId="7" w16cid:durableId="2138638724">
    <w:abstractNumId w:val="3"/>
  </w:num>
  <w:num w:numId="8" w16cid:durableId="282537826">
    <w:abstractNumId w:val="1"/>
  </w:num>
  <w:num w:numId="9" w16cid:durableId="88934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F2"/>
    <w:rsid w:val="000576E7"/>
    <w:rsid w:val="00092866"/>
    <w:rsid w:val="000E5F04"/>
    <w:rsid w:val="001367F4"/>
    <w:rsid w:val="00157A9B"/>
    <w:rsid w:val="001C15B2"/>
    <w:rsid w:val="00231A54"/>
    <w:rsid w:val="00241CC0"/>
    <w:rsid w:val="00271C1B"/>
    <w:rsid w:val="00277330"/>
    <w:rsid w:val="002B1B82"/>
    <w:rsid w:val="00304851"/>
    <w:rsid w:val="003305E6"/>
    <w:rsid w:val="00341F41"/>
    <w:rsid w:val="00344287"/>
    <w:rsid w:val="00345C2F"/>
    <w:rsid w:val="00401478"/>
    <w:rsid w:val="00473697"/>
    <w:rsid w:val="00480CF2"/>
    <w:rsid w:val="004A5368"/>
    <w:rsid w:val="00551A68"/>
    <w:rsid w:val="005D5A08"/>
    <w:rsid w:val="006C16C9"/>
    <w:rsid w:val="006F21DA"/>
    <w:rsid w:val="007065CB"/>
    <w:rsid w:val="007116F6"/>
    <w:rsid w:val="00723EEF"/>
    <w:rsid w:val="00753C7D"/>
    <w:rsid w:val="00795CD2"/>
    <w:rsid w:val="007A30C4"/>
    <w:rsid w:val="007B3C97"/>
    <w:rsid w:val="00833B11"/>
    <w:rsid w:val="0084216F"/>
    <w:rsid w:val="008A38B4"/>
    <w:rsid w:val="008E0861"/>
    <w:rsid w:val="008E49EA"/>
    <w:rsid w:val="0092565F"/>
    <w:rsid w:val="00950A3E"/>
    <w:rsid w:val="009E2596"/>
    <w:rsid w:val="00AE3748"/>
    <w:rsid w:val="00AF20D4"/>
    <w:rsid w:val="00AF2944"/>
    <w:rsid w:val="00B46F14"/>
    <w:rsid w:val="00B53560"/>
    <w:rsid w:val="00B8775D"/>
    <w:rsid w:val="00BB32AC"/>
    <w:rsid w:val="00C476D5"/>
    <w:rsid w:val="00C87746"/>
    <w:rsid w:val="00CB752D"/>
    <w:rsid w:val="00CC35FD"/>
    <w:rsid w:val="00D011BD"/>
    <w:rsid w:val="00D02156"/>
    <w:rsid w:val="00D26953"/>
    <w:rsid w:val="00DF088D"/>
    <w:rsid w:val="00E67174"/>
    <w:rsid w:val="00E804A6"/>
    <w:rsid w:val="00E92C97"/>
    <w:rsid w:val="00FE1975"/>
    <w:rsid w:val="544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3EEC0D"/>
  <w15:chartTrackingRefBased/>
  <w15:docId w15:val="{78584AFF-5838-4F49-942D-5C47C68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56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val="en-GB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normaltextrun">
    <w:name w:val="normaltextrun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80CF2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480CF2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Grigliamedia1-Colore21">
    <w:name w:val="Griglia media 1 - Colore 21"/>
    <w:basedOn w:val="Normale"/>
    <w:uiPriority w:val="99"/>
    <w:qFormat/>
    <w:rsid w:val="00723EE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rsid w:val="00723EEF"/>
  </w:style>
  <w:style w:type="character" w:styleId="Enfasicorsivo">
    <w:name w:val="Emphasis"/>
    <w:uiPriority w:val="20"/>
    <w:qFormat/>
    <w:rsid w:val="00723EEF"/>
    <w:rPr>
      <w:i/>
      <w:iCs/>
    </w:rPr>
  </w:style>
  <w:style w:type="table" w:styleId="Grigliatabella">
    <w:name w:val="Table Grid"/>
    <w:basedOn w:val="Tabellanormale"/>
    <w:uiPriority w:val="59"/>
    <w:rsid w:val="0034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B53560"/>
    <w:rPr>
      <w:b/>
      <w:bCs/>
      <w:sz w:val="24"/>
      <w:szCs w:val="24"/>
      <w:lang w:val="en-GB"/>
    </w:rPr>
  </w:style>
  <w:style w:type="character" w:customStyle="1" w:styleId="stilemessaggiodipostaelettronica17">
    <w:name w:val="stilemessaggiodipostaelettronica17"/>
    <w:semiHidden/>
    <w:rsid w:val="00B53560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51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51A68"/>
    <w:pPr>
      <w:widowControl/>
      <w:suppressAutoHyphens w:val="0"/>
      <w:ind w:left="720"/>
      <w:contextualSpacing/>
    </w:pPr>
    <w:rPr>
      <w:rFonts w:eastAsiaTheme="minorEastAsia" w:cs="Times New Roman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Usai</dc:creator>
  <cp:keywords/>
  <cp:lastModifiedBy>Vania Statzu</cp:lastModifiedBy>
  <cp:revision>2</cp:revision>
  <cp:lastPrinted>1899-12-31T23:00:00Z</cp:lastPrinted>
  <dcterms:created xsi:type="dcterms:W3CDTF">2023-09-27T13:01:00Z</dcterms:created>
  <dcterms:modified xsi:type="dcterms:W3CDTF">2023-09-27T13:01:00Z</dcterms:modified>
</cp:coreProperties>
</file>